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rPr>
        <w:t>PLASTOVÉ NÁDOBY</w:t>
        <w:br/>
      </w:r>
      <w:r>
        <w:rPr>
          <w:b/>
          <w:sz w:val="24"/>
        </w:rPr>
        <w:t>PROHLÁŠENÍ O SHODĚ MATERIÁLU A VÝROBKŮ URČENÝCH PRO STYK S POTRAVINAMI</w:t>
      </w:r>
    </w:p>
    <w:p>
      <w:r>
        <w:rPr>
          <w:b w:val="0"/>
        </w:rPr>
        <w:t xml:space="preserve">1. Prohlašuje se, že dodávané výrobky určené pro zpracování a balení potravin jsou vhodné pro kontakt s těmito druhy potravin: </w:t>
      </w:r>
      <w:r>
        <w:rPr>
          <w:b/>
        </w:rPr>
        <w:t>vodné potraviny, kyselé potraviny, mléčné výrobky a olejnaté nebo mastné potraviny, s redukčním faktorem X/2.</w:t>
      </w:r>
    </w:p>
    <w:p>
      <w:r>
        <w:t>Vhodnost se nevztahuje na tyto potraviny: 4.2. zpracované ovoce, typ C II; 5.4. zpracovaná zelenina, typ C II; 5.1. tuky a živočišné a rostlinné oleje; 6.5. konzervované maso a ryby, typ B; a 6.8. omáčky, typ C.</w:t>
      </w:r>
    </w:p>
    <w:p>
      <w:r>
        <w:t>Výrobky JSOU V SOULADU s následujícími evropskými právními předpisy:</w:t>
      </w:r>
    </w:p>
    <w:p>
      <w:pPr>
        <w:pStyle w:val="ListBullet"/>
      </w:pPr>
      <w:r>
        <w:t>Nařízení (ES) č. 1935/2004</w:t>
      </w:r>
    </w:p>
    <w:p>
      <w:pPr>
        <w:pStyle w:val="ListBullet"/>
      </w:pPr>
      <w:r>
        <w:t>Nařízení (ES) č. 1895/2005</w:t>
      </w:r>
    </w:p>
    <w:p>
      <w:pPr>
        <w:pStyle w:val="ListBullet"/>
      </w:pPr>
      <w:r>
        <w:t>Nařízení (EU) č. 10/2011 v platném znění a následných aktualizacích</w:t>
      </w:r>
    </w:p>
    <w:p>
      <w:pPr>
        <w:pStyle w:val="ListBullet"/>
      </w:pPr>
      <w:r>
        <w:t>Včetně nařízení (EU) č. 202/2014</w:t>
      </w:r>
    </w:p>
    <w:p>
      <w:r>
        <w:t>A s následujícími italskými právními předpisy:</w:t>
      </w:r>
    </w:p>
    <w:p>
      <w:pPr>
        <w:pStyle w:val="ListBullet"/>
      </w:pPr>
      <w:r>
        <w:t>Vyhláška ze dne 21. 3. 1973 v platném znění; DPR 777/82 v platném znění a související změny</w:t>
      </w:r>
    </w:p>
    <w:p>
      <w:pPr>
        <w:pStyle w:val="ListBullet"/>
      </w:pPr>
      <w:r>
        <w:t>FDA (Food and Drug Administration), svazek 21, část 177.1520</w:t>
      </w:r>
    </w:p>
    <w:p>
      <w:pPr>
        <w:pStyle w:val="Heading2"/>
      </w:pPr>
      <w:r>
        <w:t>2. Použité plastové materiály</w:t>
      </w:r>
    </w:p>
    <w:p>
      <w:r>
        <w:t>Výrobky jsou vyrobeny z plastového granulátu:</w:t>
      </w:r>
    </w:p>
    <w:p>
      <w:pPr>
        <w:pStyle w:val="ListBullet"/>
      </w:pPr>
      <w:r>
        <w:t>polypropylen (PP BASE)</w:t>
      </w:r>
    </w:p>
    <w:p>
      <w:pPr>
        <w:pStyle w:val="ListBullet"/>
      </w:pPr>
      <w:r>
        <w:t>polyethylen vysoké hustoty (HDPE / HD-PE), evropské polymery, nebo lineární polyethylen (PE), evropské polymery</w:t>
      </w:r>
    </w:p>
    <w:p>
      <w:pPr>
        <w:pStyle w:val="Heading2"/>
      </w:pPr>
      <w:r>
        <w:t>3. Zkoušky vhodnosti pro styk s potravinami</w:t>
      </w:r>
    </w:p>
    <w:p>
      <w:r>
        <w:t>Materiály obsahují látky s omezením stanoveným v uvedených právních předpisech:</w:t>
      </w:r>
    </w:p>
    <w:p>
      <w:pPr>
        <w:pStyle w:val="ListBullet"/>
      </w:pPr>
      <w:r>
        <w:t>N,N-bis(2-hydroxyethyl)alkyl(C8–C18)amin – referenční č. 39090 – specifický migrační limit (SML): 1,2 mg/kg</w:t>
      </w:r>
    </w:p>
    <w:p>
      <w:pPr>
        <w:pStyle w:val="ListBullet"/>
      </w:pPr>
      <w:r>
        <w:t>dibutylftalát – referenční č. 74880 – specifický migrační limit (SML): 0,3 mg/kg</w:t>
      </w:r>
    </w:p>
    <w:p>
      <w:pPr>
        <w:pStyle w:val="ListBullet"/>
      </w:pPr>
      <w:r>
        <w:t>oktadecyl-3-(3,5-di-terc-butyl-4-hydroxyfenyl)propionát – referenční č. 68320 – specifický migrační limit (SML): 6 mg/kg</w:t>
      </w:r>
    </w:p>
    <w:p>
      <w:pPr>
        <w:pStyle w:val="Heading3"/>
      </w:pPr>
      <w:r>
        <w:t>Podmínky zkoušek</w:t>
      </w:r>
    </w:p>
    <w:p>
      <w:pPr>
        <w:pStyle w:val="ListBullet"/>
      </w:pPr>
      <w:r>
        <w:t>Simulant: 3% kyselina octová (v/v), simulant B. Doba a teplota: 10 dní při 40 °C – dlouhodobé skladování při pokojové teplotě.</w:t>
      </w:r>
    </w:p>
    <w:p>
      <w:pPr>
        <w:pStyle w:val="ListBullet"/>
      </w:pPr>
      <w:r>
        <w:t>Simulant: 50% ethanol (v/v), simulant D1. Doba a teplota: 10 dní při 40 °C – dlouhodobé skladování při pokojové teplotě.</w:t>
      </w:r>
    </w:p>
    <w:p>
      <w:pPr>
        <w:pStyle w:val="ListBullet"/>
      </w:pPr>
      <w:r>
        <w:t>Simulant: upravený olivový olej, simulant D2. Doba a teplota: 10 dní při 40 °C – dlouhodobé skladování při pokojové teplotě.</w:t>
      </w:r>
    </w:p>
    <w:p>
      <w:r>
        <w:t>Simulanty a zkušební podmínky byly zvoleny podle směrnic 82/711/EHS a 85/572/EHS v platném znění a podle vyhlášky č. 338 ze dne 22. 7. 1998. (Viz poznámka na konci dokumentu, článek 22 nařízení (EU) č. 10/2011 o přechodných ustanoveních.)</w:t>
      </w:r>
    </w:p>
    <w:p>
      <w:r>
        <w:t>Celkový migrační limit a další specifická omezení musí být dodrženy za výše uvedených podmínek použití. Prohlášení je podloženo analytickými zkouškami provedenými v souladu se směrnicemi 82/711/EHS, 85/572/EHS a 97/48/EHS a s ministerskou vyhláškou DM 21. 3. 1973. Při zkouškách se předpokládalo, že 1 kg potraviny přichází do styku se 6 dm² obalového materiálu.</w:t>
      </w:r>
    </w:p>
    <w:p>
      <w:pPr>
        <w:pStyle w:val="Heading2"/>
      </w:pPr>
      <w:r>
        <w:t>4. Látky s dvojím použitím</w:t>
      </w:r>
    </w:p>
    <w:p>
      <w:r>
        <w:t>Materiál neobsahuje látky regulované nařízeními (ES) č. 1333/2008 a č. 1334/2008 v platném znění (tzv. „látky s dvojím použitím“).</w:t>
      </w:r>
    </w:p>
    <w:p>
      <w:pPr>
        <w:pStyle w:val="Heading2"/>
      </w:pPr>
      <w:r>
        <w:t>5. Zamýšlené použití</w:t>
      </w:r>
    </w:p>
    <w:p>
      <w:r>
        <w:t>Použití v průmyslovém nebo obchodním objektu uvedeném v tomto prohlášení nezbavuje uživatele povinnosti dodržovat příslušné platné normy ani ověřit technologickou vhodnost výrobku pro zamýšlený účel.</w:t>
      </w:r>
    </w:p>
    <w:p>
      <w:pPr>
        <w:pStyle w:val="Heading2"/>
      </w:pPr>
      <w:r>
        <w:t>6. Platnost prohlášení</w:t>
      </w:r>
    </w:p>
    <w:p>
      <w:r>
        <w:t>Toto prohlášení je platné od data uvedeného níže. Bude nahrazeno v případě podstatných změn ve výrobě materiálu, které mohou ovlivnit některý ze základních požadavků na shodu, nebo pokud budou změněny či aktualizovány citované právní předpisy tak, že bude nutné provést nové posouzení shody.</w:t>
      </w:r>
    </w:p>
    <w:p>
      <w:pPr>
        <w:pStyle w:val="Heading2"/>
      </w:pPr>
      <w:r>
        <w:t>7. Opakovaný styk s mléčnými výrobky</w:t>
      </w:r>
    </w:p>
    <w:p>
      <w:r>
        <w:t>Formy jsou vhodné pro opakovaný styk s mléčnými výrobky po dobu až 2 hodin při 70 °C nebo až 15 minut při 100 °C.</w:t>
      </w:r>
    </w:p>
    <w:p>
      <w:r>
        <w:t>Uživatelská společnost musí zavést vhodný postup sanitace s ohledem na to, že materiál je odolný vůči vodným, kyselým (do pH 4), alkoholovým (do 50 % alkoholu) a tukovým matricím.</w:t>
      </w:r>
    </w:p>
    <w:p>
      <w:pPr>
        <w:pStyle w:val="Heading2"/>
      </w:pPr>
      <w:r>
        <w:t>Poznámka</w:t>
      </w:r>
    </w:p>
    <w:p>
      <w:r>
        <w:t>Toto prohlášení bylo vypracováno podle článku 23 („Počátek použitelnosti“) nařízení (EU) č. 10/2011 v platném znění, včetně nařízení (EU) č. 202/2014. Uvedené ustanovení stanoví, že čl. 18 odst. 2 a 4 a článek 20 se použijí od 31. prosince 2012.</w:t>
      </w:r>
    </w:p>
    <w:p/>
    <w:p>
      <w:r>
        <w:rPr>
          <w:b/>
        </w:rPr>
        <w:t xml:space="preserve">Upozornění k překladu: </w:t>
      </w:r>
      <w:r>
        <w:t>Dokument je překladem dodaného anglického textu. Nejde o nezávislé ověření aktuální právní shody ani o potvrzení, že původní prohlášení obsahuje všechny náležitosti požadované současnými předpisy.</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